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C7EF3" w14:textId="2EBE2F58" w:rsidR="00F14127" w:rsidRPr="00412B18" w:rsidRDefault="00811F4A" w:rsidP="00412B18">
      <w:pPr>
        <w:spacing w:line="360" w:lineRule="auto"/>
        <w:jc w:val="center"/>
        <w:rPr>
          <w:rFonts w:ascii="Selawik" w:hAnsi="Selawik"/>
          <w:b/>
          <w:bCs/>
          <w:sz w:val="24"/>
          <w:szCs w:val="24"/>
          <w:lang w:val="es-ES"/>
        </w:rPr>
      </w:pPr>
      <w:r w:rsidRPr="00412B18">
        <w:rPr>
          <w:rFonts w:ascii="Selawik" w:hAnsi="Selawik"/>
          <w:b/>
          <w:bCs/>
          <w:sz w:val="24"/>
          <w:szCs w:val="24"/>
          <w:lang w:val="es-ES"/>
        </w:rPr>
        <w:t>Informe Glosa Presupuestaria N° 14 letra a) (Ley 21.640)</w:t>
      </w:r>
    </w:p>
    <w:p w14:paraId="3834EE9F" w14:textId="1B1AD25B" w:rsidR="00811F4A" w:rsidRPr="00412B18" w:rsidRDefault="00811F4A" w:rsidP="00412B18">
      <w:pPr>
        <w:spacing w:line="360" w:lineRule="auto"/>
        <w:jc w:val="both"/>
        <w:rPr>
          <w:rFonts w:ascii="Selawik" w:hAnsi="Selawik"/>
          <w:b/>
          <w:bCs/>
          <w:sz w:val="24"/>
          <w:szCs w:val="24"/>
          <w:lang w:val="es-ES"/>
        </w:rPr>
      </w:pPr>
      <w:r w:rsidRPr="00412B18">
        <w:rPr>
          <w:rFonts w:ascii="Selawik" w:hAnsi="Selawik"/>
          <w:b/>
          <w:bCs/>
          <w:sz w:val="24"/>
          <w:szCs w:val="24"/>
          <w:lang w:val="es-ES"/>
        </w:rPr>
        <w:t>Gastos asociados al Subtítulo 24 en el marco del plan “Calles sin violencia” proyecto Equipos contra el crimen organizado y homicidios (ECOH)</w:t>
      </w:r>
    </w:p>
    <w:p w14:paraId="59B188CC" w14:textId="2DDA2B4D" w:rsidR="00811F4A" w:rsidRPr="00412B18" w:rsidRDefault="00811F4A" w:rsidP="00412B18">
      <w:pPr>
        <w:spacing w:line="360" w:lineRule="auto"/>
        <w:jc w:val="both"/>
        <w:rPr>
          <w:rFonts w:ascii="Selawik" w:hAnsi="Selawik"/>
          <w:b/>
          <w:bCs/>
          <w:sz w:val="24"/>
          <w:szCs w:val="24"/>
          <w:lang w:val="es-ES"/>
        </w:rPr>
      </w:pPr>
      <w:r w:rsidRPr="00412B18">
        <w:rPr>
          <w:rFonts w:ascii="Selawik" w:hAnsi="Selawik"/>
          <w:b/>
          <w:bCs/>
          <w:sz w:val="24"/>
          <w:szCs w:val="24"/>
          <w:lang w:val="es-ES"/>
        </w:rPr>
        <w:t>a) Contexto y objetivo del proyecto ECOH</w:t>
      </w:r>
    </w:p>
    <w:p w14:paraId="704E2421" w14:textId="77777777" w:rsidR="00B536E6" w:rsidRDefault="00811F4A" w:rsidP="00412B18">
      <w:pPr>
        <w:spacing w:line="360" w:lineRule="auto"/>
        <w:jc w:val="both"/>
        <w:rPr>
          <w:rFonts w:ascii="Selawik" w:hAnsi="Selawik"/>
          <w:sz w:val="24"/>
          <w:szCs w:val="24"/>
          <w:lang w:val="es-ES"/>
        </w:rPr>
      </w:pPr>
      <w:r w:rsidRPr="00412B18">
        <w:rPr>
          <w:rFonts w:ascii="Selawik" w:hAnsi="Selawik"/>
          <w:sz w:val="24"/>
          <w:szCs w:val="24"/>
          <w:lang w:val="es-ES"/>
        </w:rPr>
        <w:t>En el marco de</w:t>
      </w:r>
      <w:r w:rsidR="00B536E6">
        <w:rPr>
          <w:rFonts w:ascii="Selawik" w:hAnsi="Selawik"/>
          <w:sz w:val="24"/>
          <w:szCs w:val="24"/>
          <w:lang w:val="es-ES"/>
        </w:rPr>
        <w:t xml:space="preserve"> </w:t>
      </w:r>
      <w:r w:rsidRPr="00412B18">
        <w:rPr>
          <w:rFonts w:ascii="Selawik" w:hAnsi="Selawik"/>
          <w:sz w:val="24"/>
          <w:szCs w:val="24"/>
          <w:lang w:val="es-ES"/>
        </w:rPr>
        <w:t>l</w:t>
      </w:r>
      <w:r w:rsidR="00B536E6">
        <w:rPr>
          <w:rFonts w:ascii="Selawik" w:hAnsi="Selawik"/>
          <w:sz w:val="24"/>
          <w:szCs w:val="24"/>
          <w:lang w:val="es-ES"/>
        </w:rPr>
        <w:t>os</w:t>
      </w:r>
      <w:r w:rsidRPr="00412B18">
        <w:rPr>
          <w:rFonts w:ascii="Selawik" w:hAnsi="Selawik"/>
          <w:sz w:val="24"/>
          <w:szCs w:val="24"/>
          <w:lang w:val="es-ES"/>
        </w:rPr>
        <w:t xml:space="preserve"> convenio</w:t>
      </w:r>
      <w:r w:rsidR="00B536E6">
        <w:rPr>
          <w:rFonts w:ascii="Selawik" w:hAnsi="Selawik"/>
          <w:sz w:val="24"/>
          <w:szCs w:val="24"/>
          <w:lang w:val="es-ES"/>
        </w:rPr>
        <w:t>s</w:t>
      </w:r>
      <w:r w:rsidRPr="00412B18">
        <w:rPr>
          <w:rFonts w:ascii="Selawik" w:hAnsi="Selawik"/>
          <w:sz w:val="24"/>
          <w:szCs w:val="24"/>
          <w:lang w:val="es-ES"/>
        </w:rPr>
        <w:t xml:space="preserve"> suscrito</w:t>
      </w:r>
      <w:r w:rsidR="00B536E6">
        <w:rPr>
          <w:rFonts w:ascii="Selawik" w:hAnsi="Selawik"/>
          <w:sz w:val="24"/>
          <w:szCs w:val="24"/>
          <w:lang w:val="es-ES"/>
        </w:rPr>
        <w:t>s</w:t>
      </w:r>
      <w:r w:rsidRPr="00412B18">
        <w:rPr>
          <w:rFonts w:ascii="Selawik" w:hAnsi="Selawik"/>
          <w:sz w:val="24"/>
          <w:szCs w:val="24"/>
          <w:lang w:val="es-ES"/>
        </w:rPr>
        <w:t xml:space="preserve"> entre la Subsecretaría de Prevención del Delito y el Ministerio Público</w:t>
      </w:r>
      <w:r w:rsidR="00B536E6">
        <w:rPr>
          <w:rFonts w:ascii="Selawik" w:hAnsi="Selawik"/>
          <w:sz w:val="24"/>
          <w:szCs w:val="24"/>
          <w:lang w:val="es-ES"/>
        </w:rPr>
        <w:t xml:space="preserve"> (para los años 2024 y 2025)</w:t>
      </w:r>
      <w:r w:rsidRPr="00412B18">
        <w:rPr>
          <w:rFonts w:ascii="Selawik" w:hAnsi="Selawik"/>
          <w:sz w:val="24"/>
          <w:szCs w:val="24"/>
          <w:lang w:val="es-ES"/>
        </w:rPr>
        <w:t>, aprobado</w:t>
      </w:r>
      <w:r w:rsidR="00B536E6">
        <w:rPr>
          <w:rFonts w:ascii="Selawik" w:hAnsi="Selawik"/>
          <w:sz w:val="24"/>
          <w:szCs w:val="24"/>
          <w:lang w:val="es-ES"/>
        </w:rPr>
        <w:t>s</w:t>
      </w:r>
      <w:r w:rsidRPr="00412B18">
        <w:rPr>
          <w:rFonts w:ascii="Selawik" w:hAnsi="Selawik"/>
          <w:sz w:val="24"/>
          <w:szCs w:val="24"/>
          <w:lang w:val="es-ES"/>
        </w:rPr>
        <w:t xml:space="preserve"> por Decreto</w:t>
      </w:r>
      <w:r w:rsidR="00B536E6">
        <w:rPr>
          <w:rFonts w:ascii="Selawik" w:hAnsi="Selawik"/>
          <w:sz w:val="24"/>
          <w:szCs w:val="24"/>
          <w:lang w:val="es-ES"/>
        </w:rPr>
        <w:t>s</w:t>
      </w:r>
      <w:r w:rsidRPr="00412B18">
        <w:rPr>
          <w:rFonts w:ascii="Selawik" w:hAnsi="Selawik"/>
          <w:sz w:val="24"/>
          <w:szCs w:val="24"/>
          <w:lang w:val="es-ES"/>
        </w:rPr>
        <w:t xml:space="preserve"> N° 389 </w:t>
      </w:r>
      <w:r w:rsidR="00B536E6">
        <w:rPr>
          <w:rFonts w:ascii="Selawik" w:hAnsi="Selawik"/>
          <w:sz w:val="24"/>
          <w:szCs w:val="24"/>
          <w:lang w:val="es-ES"/>
        </w:rPr>
        <w:t>del 31 de diciembre de 2023 y N° 506 del 31 de diciembre de 2024, ambos d</w:t>
      </w:r>
      <w:r w:rsidRPr="00412B18">
        <w:rPr>
          <w:rFonts w:ascii="Selawik" w:hAnsi="Selawik"/>
          <w:sz w:val="24"/>
          <w:szCs w:val="24"/>
          <w:lang w:val="es-ES"/>
        </w:rPr>
        <w:t>el Ministerio del Interior y Seguridad Pública, se contempló</w:t>
      </w:r>
      <w:r w:rsidR="00B536E6">
        <w:rPr>
          <w:rFonts w:ascii="Selawik" w:hAnsi="Selawik"/>
          <w:sz w:val="24"/>
          <w:szCs w:val="24"/>
          <w:lang w:val="es-ES"/>
        </w:rPr>
        <w:t>:</w:t>
      </w:r>
    </w:p>
    <w:p w14:paraId="19BE1AA1" w14:textId="2BA2A4E0" w:rsidR="00B536E6" w:rsidRDefault="00B536E6" w:rsidP="00412B18">
      <w:pPr>
        <w:spacing w:line="360" w:lineRule="auto"/>
        <w:jc w:val="both"/>
        <w:rPr>
          <w:rFonts w:ascii="Selawik" w:hAnsi="Selawik"/>
          <w:sz w:val="24"/>
          <w:szCs w:val="24"/>
          <w:lang w:val="es-ES"/>
        </w:rPr>
      </w:pPr>
      <w:r>
        <w:rPr>
          <w:rFonts w:ascii="Selawik" w:hAnsi="Selawik"/>
          <w:sz w:val="24"/>
          <w:szCs w:val="24"/>
          <w:lang w:val="es-ES"/>
        </w:rPr>
        <w:t>1.</w:t>
      </w:r>
      <w:r w:rsidR="00811F4A" w:rsidRPr="00412B18">
        <w:rPr>
          <w:rFonts w:ascii="Selawik" w:hAnsi="Selawik"/>
          <w:sz w:val="24"/>
          <w:szCs w:val="24"/>
          <w:lang w:val="es-ES"/>
        </w:rPr>
        <w:t xml:space="preserve"> </w:t>
      </w:r>
      <w:r>
        <w:rPr>
          <w:rFonts w:ascii="Selawik" w:hAnsi="Selawik"/>
          <w:sz w:val="24"/>
          <w:szCs w:val="24"/>
          <w:lang w:val="es-ES"/>
        </w:rPr>
        <w:t>Para el año 2024, l</w:t>
      </w:r>
      <w:r w:rsidR="00811F4A" w:rsidRPr="00412B18">
        <w:rPr>
          <w:rFonts w:ascii="Selawik" w:hAnsi="Selawik"/>
          <w:sz w:val="24"/>
          <w:szCs w:val="24"/>
          <w:lang w:val="es-ES"/>
        </w:rPr>
        <w:t xml:space="preserve">a transferencia al Ministerio Público de la suma de $9.909.028.000 para la ejecución del plan Calles Sin Violencia. </w:t>
      </w:r>
      <w:r w:rsidR="00412B18" w:rsidRPr="00412B18">
        <w:rPr>
          <w:rFonts w:ascii="Selawik" w:hAnsi="Selawik"/>
          <w:sz w:val="24"/>
          <w:szCs w:val="24"/>
          <w:lang w:val="es-ES"/>
        </w:rPr>
        <w:t>Dicho monto contempla $7.740.330.000 para gastos en personal (con un máximo de 252 personas contratadas a honorarios) y $2.168.698.000 para compra de apoyo tecnológico para el funcionamiento de los equipos</w:t>
      </w:r>
      <w:r w:rsidR="00E661CD">
        <w:rPr>
          <w:rFonts w:ascii="Selawik" w:hAnsi="Selawik"/>
          <w:sz w:val="24"/>
          <w:szCs w:val="24"/>
          <w:lang w:val="es-ES"/>
        </w:rPr>
        <w:t xml:space="preserve"> y $2.265.614.000 para gastos corrientes de operación.</w:t>
      </w:r>
      <w:r w:rsidR="00412B18">
        <w:rPr>
          <w:rFonts w:ascii="Selawik" w:hAnsi="Selawik"/>
          <w:sz w:val="24"/>
          <w:szCs w:val="24"/>
          <w:lang w:val="es-ES"/>
        </w:rPr>
        <w:t xml:space="preserve"> </w:t>
      </w:r>
    </w:p>
    <w:p w14:paraId="63CEEC9C" w14:textId="27ACF93A" w:rsidR="00B536E6" w:rsidRDefault="00B536E6" w:rsidP="00412B18">
      <w:pPr>
        <w:spacing w:line="360" w:lineRule="auto"/>
        <w:jc w:val="both"/>
        <w:rPr>
          <w:rFonts w:ascii="Selawik" w:hAnsi="Selawik"/>
          <w:sz w:val="24"/>
          <w:szCs w:val="24"/>
          <w:lang w:val="es-ES"/>
        </w:rPr>
      </w:pPr>
      <w:r>
        <w:rPr>
          <w:rFonts w:ascii="Selawik" w:hAnsi="Selawik"/>
          <w:sz w:val="24"/>
          <w:szCs w:val="24"/>
          <w:lang w:val="es-ES"/>
        </w:rPr>
        <w:t xml:space="preserve">2. Para el año 2025, la transferencia al Ministerio Público de </w:t>
      </w:r>
      <w:r w:rsidR="009F33B3" w:rsidRPr="009F33B3">
        <w:rPr>
          <w:rFonts w:ascii="Selawik" w:hAnsi="Selawik"/>
          <w:sz w:val="24"/>
          <w:szCs w:val="24"/>
          <w:lang w:val="es-ES"/>
        </w:rPr>
        <w:t>la cantidad única y total de $12.197.356.000, para todo tipo de gastos, incluso en bienes y servicios de consumo y gastos en personal, estos últimos hasta por $10.542.077.936, con un máximo de 280 personas a honorarios, para la ejecución del Plan Calles Sin Violencia, según lo estipula la Glosa 16 del presupuesto asignado al Ministerio Público para el año 2025, y al Anexo “Plan de Compras” que forma parte integrante de este instrumento.</w:t>
      </w:r>
    </w:p>
    <w:p w14:paraId="3B61332C" w14:textId="21D519DE" w:rsidR="00811F4A" w:rsidRPr="00412B18" w:rsidRDefault="00811F4A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 w:rsidRPr="00412B18">
        <w:rPr>
          <w:rFonts w:ascii="Selawik" w:hAnsi="Selawik"/>
          <w:sz w:val="24"/>
          <w:szCs w:val="24"/>
          <w:lang w:val="es-ES"/>
        </w:rPr>
        <w:t xml:space="preserve">El </w:t>
      </w:r>
      <w:r w:rsidRPr="00412B18">
        <w:rPr>
          <w:rFonts w:ascii="Selawik" w:hAnsi="Selawik" w:cs="Arial"/>
          <w:sz w:val="24"/>
          <w:szCs w:val="24"/>
        </w:rPr>
        <w:t xml:space="preserve">propósito de este proyecto consiste en fomentar la reacción temprana, a través de la pronta constitución en el sitio del suceso, para aquellos casos que involucren homicidios o secuestros cometidos en contexto de criminalidad organizada, mediante una mirada sistémica y multidisciplinaria del caso. Este proyecto se </w:t>
      </w:r>
      <w:r w:rsidRPr="00412B18">
        <w:rPr>
          <w:rFonts w:ascii="Selawik" w:hAnsi="Selawik" w:cs="Arial"/>
          <w:sz w:val="24"/>
          <w:szCs w:val="24"/>
        </w:rPr>
        <w:lastRenderedPageBreak/>
        <w:t xml:space="preserve">encuentra implementado a partir del 13 de noviembre en diez regiones del país y a la fecha se han tramitado más de </w:t>
      </w:r>
      <w:r w:rsidR="009F33B3">
        <w:rPr>
          <w:rFonts w:ascii="Selawik" w:hAnsi="Selawik" w:cs="Arial"/>
          <w:sz w:val="24"/>
          <w:szCs w:val="24"/>
        </w:rPr>
        <w:t>3.000</w:t>
      </w:r>
      <w:r w:rsidRPr="00412B18">
        <w:rPr>
          <w:rFonts w:ascii="Selawik" w:hAnsi="Selawik" w:cs="Arial"/>
          <w:sz w:val="24"/>
          <w:szCs w:val="24"/>
        </w:rPr>
        <w:t xml:space="preserve"> casos bajo la lógica de esta iniciativa, registrándose como primeros resultados el aumento en la tasa de casos e imputados formalizados</w:t>
      </w:r>
      <w:r w:rsidR="009F33B3">
        <w:rPr>
          <w:rFonts w:ascii="Selawik" w:hAnsi="Selawik" w:cs="Arial"/>
          <w:sz w:val="24"/>
          <w:szCs w:val="24"/>
        </w:rPr>
        <w:t xml:space="preserve"> y el aumento de las prisiones preventivas</w:t>
      </w:r>
      <w:r w:rsidRPr="00412B18">
        <w:rPr>
          <w:rFonts w:ascii="Selawik" w:hAnsi="Selawik" w:cs="Arial"/>
          <w:sz w:val="24"/>
          <w:szCs w:val="24"/>
        </w:rPr>
        <w:t>, tanto para homicidios como secuestros.</w:t>
      </w:r>
    </w:p>
    <w:p w14:paraId="465B17B5" w14:textId="77777777" w:rsidR="00412B18" w:rsidRPr="00412B18" w:rsidRDefault="00811F4A" w:rsidP="00412B18">
      <w:pPr>
        <w:spacing w:line="360" w:lineRule="auto"/>
        <w:jc w:val="both"/>
        <w:rPr>
          <w:rFonts w:ascii="Selawik" w:hAnsi="Selawik" w:cs="Arial"/>
          <w:b/>
          <w:bCs/>
          <w:sz w:val="24"/>
          <w:szCs w:val="24"/>
        </w:rPr>
      </w:pPr>
      <w:r w:rsidRPr="00412B18">
        <w:rPr>
          <w:rFonts w:ascii="Selawik" w:hAnsi="Selawik" w:cs="Arial"/>
          <w:b/>
          <w:bCs/>
          <w:sz w:val="24"/>
          <w:szCs w:val="24"/>
        </w:rPr>
        <w:t xml:space="preserve">b) Beneficiarios </w:t>
      </w:r>
    </w:p>
    <w:p w14:paraId="37438891" w14:textId="57507820" w:rsidR="00811F4A" w:rsidRPr="00412B18" w:rsidRDefault="00412B18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>
        <w:rPr>
          <w:rFonts w:ascii="Selawik" w:hAnsi="Selawik" w:cs="Arial"/>
          <w:sz w:val="24"/>
          <w:szCs w:val="24"/>
        </w:rPr>
        <w:t>E</w:t>
      </w:r>
      <w:r w:rsidR="00811F4A" w:rsidRPr="00412B18">
        <w:rPr>
          <w:rFonts w:ascii="Selawik" w:hAnsi="Selawik" w:cs="Arial"/>
          <w:sz w:val="24"/>
          <w:szCs w:val="24"/>
        </w:rPr>
        <w:t xml:space="preserve">l proyecto ECOH se encuentra implementado en diez regiones del país, a saber: Arica y Parinacota, Tarapacá, Antofagasta, Atacama, Coquimbo, Valparaíso, O’Higgins, Maule, Biobío y Región Metropolitana. Contempla la contratación de abogados asistentes, analistas criminales, profesionales de atención a víctimas y testigos y personal de apoyo administrativo. </w:t>
      </w:r>
      <w:r w:rsidRPr="00412B18">
        <w:rPr>
          <w:rFonts w:ascii="Selawik" w:hAnsi="Selawik" w:cs="Arial"/>
          <w:sz w:val="24"/>
          <w:szCs w:val="24"/>
        </w:rPr>
        <w:t xml:space="preserve">Al </w:t>
      </w:r>
      <w:r w:rsidR="009F33B3">
        <w:rPr>
          <w:rFonts w:ascii="Selawik" w:hAnsi="Selawik" w:cs="Arial"/>
          <w:sz w:val="24"/>
          <w:szCs w:val="24"/>
        </w:rPr>
        <w:t>31</w:t>
      </w:r>
      <w:r w:rsidRPr="00412B18">
        <w:rPr>
          <w:rFonts w:ascii="Selawik" w:hAnsi="Selawik" w:cs="Arial"/>
          <w:sz w:val="24"/>
          <w:szCs w:val="24"/>
        </w:rPr>
        <w:t xml:space="preserve"> de </w:t>
      </w:r>
      <w:r w:rsidR="00E661CD">
        <w:rPr>
          <w:rFonts w:ascii="Selawik" w:hAnsi="Selawik" w:cs="Arial"/>
          <w:sz w:val="24"/>
          <w:szCs w:val="24"/>
        </w:rPr>
        <w:t>diciembre d</w:t>
      </w:r>
      <w:r w:rsidRPr="00412B18">
        <w:rPr>
          <w:rFonts w:ascii="Selawik" w:hAnsi="Selawik" w:cs="Arial"/>
          <w:sz w:val="24"/>
          <w:szCs w:val="24"/>
        </w:rPr>
        <w:t>e 202</w:t>
      </w:r>
      <w:r w:rsidR="00E661CD">
        <w:rPr>
          <w:rFonts w:ascii="Selawik" w:hAnsi="Selawik" w:cs="Arial"/>
          <w:sz w:val="24"/>
          <w:szCs w:val="24"/>
        </w:rPr>
        <w:t>4</w:t>
      </w:r>
      <w:r w:rsidRPr="00412B18">
        <w:rPr>
          <w:rFonts w:ascii="Selawik" w:hAnsi="Selawik" w:cs="Arial"/>
          <w:sz w:val="24"/>
          <w:szCs w:val="24"/>
        </w:rPr>
        <w:t xml:space="preserve"> se encuentran contratados, en calidad de honorarios, </w:t>
      </w:r>
      <w:r w:rsidR="009F33B3">
        <w:rPr>
          <w:rFonts w:ascii="Selawik" w:hAnsi="Selawik" w:cs="Arial"/>
          <w:sz w:val="24"/>
          <w:szCs w:val="24"/>
        </w:rPr>
        <w:t>25</w:t>
      </w:r>
      <w:r w:rsidR="00E661CD">
        <w:rPr>
          <w:rFonts w:ascii="Selawik" w:hAnsi="Selawik" w:cs="Arial"/>
          <w:sz w:val="24"/>
          <w:szCs w:val="24"/>
        </w:rPr>
        <w:t>2</w:t>
      </w:r>
      <w:r w:rsidRPr="00412B18">
        <w:rPr>
          <w:rFonts w:ascii="Selawik" w:hAnsi="Selawik" w:cs="Arial"/>
          <w:sz w:val="24"/>
          <w:szCs w:val="24"/>
        </w:rPr>
        <w:t xml:space="preserve"> personas.</w:t>
      </w:r>
    </w:p>
    <w:p w14:paraId="604BB2AB" w14:textId="77777777" w:rsidR="00412B18" w:rsidRPr="00412B18" w:rsidRDefault="00412B18" w:rsidP="00412B18">
      <w:pPr>
        <w:spacing w:line="360" w:lineRule="auto"/>
        <w:jc w:val="both"/>
        <w:rPr>
          <w:rFonts w:ascii="Selawik" w:hAnsi="Selawik" w:cs="Arial"/>
          <w:b/>
          <w:bCs/>
          <w:sz w:val="24"/>
          <w:szCs w:val="24"/>
        </w:rPr>
      </w:pPr>
      <w:r w:rsidRPr="00412B18">
        <w:rPr>
          <w:rFonts w:ascii="Selawik" w:hAnsi="Selawik" w:cs="Arial"/>
          <w:b/>
          <w:bCs/>
          <w:sz w:val="24"/>
          <w:szCs w:val="24"/>
        </w:rPr>
        <w:t xml:space="preserve">c) Metodología de selección de profesionales ECOH </w:t>
      </w:r>
    </w:p>
    <w:p w14:paraId="36CC4CAF" w14:textId="7F1EEACE" w:rsidR="00412B18" w:rsidRPr="00412B18" w:rsidRDefault="00412B18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>
        <w:rPr>
          <w:rFonts w:ascii="Selawik" w:hAnsi="Selawik" w:cs="Arial"/>
          <w:sz w:val="24"/>
          <w:szCs w:val="24"/>
        </w:rPr>
        <w:t>L</w:t>
      </w:r>
      <w:r w:rsidRPr="00412B18">
        <w:rPr>
          <w:rFonts w:ascii="Selawik" w:hAnsi="Selawik" w:cs="Arial"/>
          <w:sz w:val="24"/>
          <w:szCs w:val="24"/>
        </w:rPr>
        <w:t xml:space="preserve">os profesionales ECOH fueron seleccionados a través de concursos públicos realizados en las regiones que forman parte del proyecto. Además, a todos ellos se les aplicó una evaluación </w:t>
      </w:r>
      <w:proofErr w:type="spellStart"/>
      <w:r w:rsidRPr="00412B18">
        <w:rPr>
          <w:rFonts w:ascii="Selawik" w:hAnsi="Selawik" w:cs="Arial"/>
          <w:sz w:val="24"/>
          <w:szCs w:val="24"/>
        </w:rPr>
        <w:t>psicolaboral</w:t>
      </w:r>
      <w:proofErr w:type="spellEnd"/>
      <w:r w:rsidRPr="00412B18">
        <w:rPr>
          <w:rFonts w:ascii="Selawik" w:hAnsi="Selawik" w:cs="Arial"/>
          <w:sz w:val="24"/>
          <w:szCs w:val="24"/>
        </w:rPr>
        <w:t xml:space="preserve"> realizada por consultoras externas.</w:t>
      </w:r>
    </w:p>
    <w:p w14:paraId="73FE04C9" w14:textId="77777777" w:rsidR="00412B18" w:rsidRPr="00412B18" w:rsidRDefault="00412B18" w:rsidP="00412B18">
      <w:pPr>
        <w:spacing w:line="360" w:lineRule="auto"/>
        <w:jc w:val="both"/>
        <w:rPr>
          <w:rFonts w:ascii="Selawik" w:hAnsi="Selawik" w:cs="Arial"/>
          <w:b/>
          <w:bCs/>
          <w:sz w:val="24"/>
          <w:szCs w:val="24"/>
        </w:rPr>
      </w:pPr>
      <w:r w:rsidRPr="00412B18">
        <w:rPr>
          <w:rFonts w:ascii="Selawik" w:hAnsi="Selawik" w:cs="Arial"/>
          <w:b/>
          <w:bCs/>
          <w:sz w:val="24"/>
          <w:szCs w:val="24"/>
        </w:rPr>
        <w:t>d) Detalle de ejecución de los recursos</w:t>
      </w:r>
    </w:p>
    <w:p w14:paraId="0AB847F0" w14:textId="27DCBC56" w:rsidR="00412B18" w:rsidRDefault="00E661CD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>
        <w:rPr>
          <w:rFonts w:ascii="Selawik" w:hAnsi="Selawik" w:cs="Arial"/>
          <w:sz w:val="24"/>
          <w:szCs w:val="24"/>
        </w:rPr>
        <w:t>A</w:t>
      </w:r>
      <w:r w:rsidR="00412B18" w:rsidRPr="00412B18">
        <w:rPr>
          <w:rFonts w:ascii="Selawik" w:hAnsi="Selawik" w:cs="Arial"/>
          <w:sz w:val="24"/>
          <w:szCs w:val="24"/>
        </w:rPr>
        <w:t xml:space="preserve">l </w:t>
      </w:r>
      <w:r w:rsidR="009F33B3">
        <w:rPr>
          <w:rFonts w:ascii="Selawik" w:hAnsi="Selawik" w:cs="Arial"/>
          <w:sz w:val="24"/>
          <w:szCs w:val="24"/>
        </w:rPr>
        <w:t>31</w:t>
      </w:r>
      <w:r w:rsidR="00412B18" w:rsidRPr="00412B18">
        <w:rPr>
          <w:rFonts w:ascii="Selawik" w:hAnsi="Selawik" w:cs="Arial"/>
          <w:sz w:val="24"/>
          <w:szCs w:val="24"/>
        </w:rPr>
        <w:t xml:space="preserve"> de </w:t>
      </w:r>
      <w:r w:rsidR="009F33B3">
        <w:rPr>
          <w:rFonts w:ascii="Selawik" w:hAnsi="Selawik" w:cs="Arial"/>
          <w:sz w:val="24"/>
          <w:szCs w:val="24"/>
        </w:rPr>
        <w:t>diciembre</w:t>
      </w:r>
      <w:r w:rsidR="00412B18" w:rsidRPr="00412B18">
        <w:rPr>
          <w:rFonts w:ascii="Selawik" w:hAnsi="Selawik" w:cs="Arial"/>
          <w:sz w:val="24"/>
          <w:szCs w:val="24"/>
        </w:rPr>
        <w:t xml:space="preserve"> de 20</w:t>
      </w:r>
      <w:r w:rsidR="009F33B3">
        <w:rPr>
          <w:rFonts w:ascii="Selawik" w:hAnsi="Selawik" w:cs="Arial"/>
          <w:sz w:val="24"/>
          <w:szCs w:val="24"/>
        </w:rPr>
        <w:t>2</w:t>
      </w:r>
      <w:r>
        <w:rPr>
          <w:rFonts w:ascii="Selawik" w:hAnsi="Selawik" w:cs="Arial"/>
          <w:sz w:val="24"/>
          <w:szCs w:val="24"/>
        </w:rPr>
        <w:t>4</w:t>
      </w:r>
      <w:r w:rsidR="00412B18" w:rsidRPr="00412B18">
        <w:rPr>
          <w:rFonts w:ascii="Selawik" w:hAnsi="Selawik" w:cs="Arial"/>
          <w:sz w:val="24"/>
          <w:szCs w:val="24"/>
        </w:rPr>
        <w:t xml:space="preserve">, se ha ejecutado </w:t>
      </w:r>
      <w:r>
        <w:rPr>
          <w:rFonts w:ascii="Selawik" w:hAnsi="Selawik" w:cs="Arial"/>
          <w:sz w:val="24"/>
          <w:szCs w:val="24"/>
        </w:rPr>
        <w:t>un 95,94 % es decir un monto total de M$ 11.679.927</w:t>
      </w:r>
      <w:r w:rsidR="00412B18" w:rsidRPr="00412B18">
        <w:rPr>
          <w:rFonts w:ascii="Selawik" w:hAnsi="Selawik" w:cs="Arial"/>
          <w:sz w:val="24"/>
          <w:szCs w:val="24"/>
        </w:rPr>
        <w:t xml:space="preserve"> contemplados para la contratación de personas</w:t>
      </w:r>
      <w:r>
        <w:rPr>
          <w:rFonts w:ascii="Selawik" w:hAnsi="Selawik" w:cs="Arial"/>
          <w:sz w:val="24"/>
          <w:szCs w:val="24"/>
        </w:rPr>
        <w:t>, inversión y gasto corriente</w:t>
      </w:r>
      <w:r w:rsidR="00412B18" w:rsidRPr="00412B18">
        <w:rPr>
          <w:rFonts w:ascii="Selawik" w:hAnsi="Selawik" w:cs="Arial"/>
          <w:sz w:val="24"/>
          <w:szCs w:val="24"/>
        </w:rPr>
        <w:t xml:space="preserve">. </w:t>
      </w:r>
      <w:r>
        <w:rPr>
          <w:rFonts w:ascii="Selawik" w:hAnsi="Selawik" w:cs="Arial"/>
          <w:sz w:val="24"/>
          <w:szCs w:val="24"/>
        </w:rPr>
        <w:t xml:space="preserve">  </w:t>
      </w:r>
      <w:r w:rsidR="00412B18" w:rsidRPr="00412B18">
        <w:rPr>
          <w:rFonts w:ascii="Selawik" w:hAnsi="Selawik" w:cs="Arial"/>
          <w:sz w:val="24"/>
          <w:szCs w:val="24"/>
        </w:rPr>
        <w:t xml:space="preserve">Respecto al monto destinado a la compra de equipamiento tecnológico </w:t>
      </w:r>
      <w:r w:rsidR="009F33B3">
        <w:rPr>
          <w:rFonts w:ascii="Selawik" w:hAnsi="Selawik" w:cs="Arial"/>
          <w:sz w:val="24"/>
          <w:szCs w:val="24"/>
        </w:rPr>
        <w:t>se ejecutó íntegramente el plan de compras</w:t>
      </w:r>
      <w:r w:rsidR="002C40AF">
        <w:rPr>
          <w:rFonts w:ascii="Selawik" w:hAnsi="Selawik" w:cs="Arial"/>
          <w:sz w:val="24"/>
          <w:szCs w:val="24"/>
        </w:rPr>
        <w:t xml:space="preserve">, </w:t>
      </w:r>
      <w:r w:rsidR="009F33B3">
        <w:rPr>
          <w:rFonts w:ascii="Selawik" w:hAnsi="Selawik" w:cs="Arial"/>
          <w:sz w:val="24"/>
          <w:szCs w:val="24"/>
        </w:rPr>
        <w:t>el cual contemplaba</w:t>
      </w:r>
      <w:r w:rsidR="004A7867">
        <w:rPr>
          <w:rFonts w:ascii="Selawik" w:hAnsi="Selawik" w:cs="Arial"/>
          <w:sz w:val="24"/>
          <w:szCs w:val="24"/>
        </w:rPr>
        <w:t xml:space="preserve"> vehículos blindados, habiéndose recibido conforme y pagado </w:t>
      </w:r>
      <w:r w:rsidR="009F33B3">
        <w:rPr>
          <w:rFonts w:ascii="Selawik" w:hAnsi="Selawik" w:cs="Arial"/>
          <w:sz w:val="24"/>
          <w:szCs w:val="24"/>
        </w:rPr>
        <w:t>la totalidad</w:t>
      </w:r>
      <w:r w:rsidR="004A7867">
        <w:rPr>
          <w:rFonts w:ascii="Selawik" w:hAnsi="Selawik" w:cs="Arial"/>
          <w:sz w:val="24"/>
          <w:szCs w:val="24"/>
        </w:rPr>
        <w:t xml:space="preserve"> de ellos (</w:t>
      </w:r>
      <w:r w:rsidR="009F33B3">
        <w:rPr>
          <w:rFonts w:ascii="Selawik" w:hAnsi="Selawik" w:cs="Arial"/>
          <w:sz w:val="24"/>
          <w:szCs w:val="24"/>
        </w:rPr>
        <w:t>17 en total</w:t>
      </w:r>
      <w:r w:rsidR="004A7867">
        <w:rPr>
          <w:rFonts w:ascii="Selawik" w:hAnsi="Selawik" w:cs="Arial"/>
          <w:sz w:val="24"/>
          <w:szCs w:val="24"/>
        </w:rPr>
        <w:t>), los cuales han sido destinados a los equipos ECOH de la Región Metropolitana (</w:t>
      </w:r>
      <w:r w:rsidR="009F33B3">
        <w:rPr>
          <w:rFonts w:ascii="Selawik" w:hAnsi="Selawik" w:cs="Arial"/>
          <w:sz w:val="24"/>
          <w:szCs w:val="24"/>
        </w:rPr>
        <w:t>5</w:t>
      </w:r>
      <w:r w:rsidR="004A7867">
        <w:rPr>
          <w:rFonts w:ascii="Selawik" w:hAnsi="Selawik" w:cs="Arial"/>
          <w:sz w:val="24"/>
          <w:szCs w:val="24"/>
        </w:rPr>
        <w:t>)</w:t>
      </w:r>
      <w:r w:rsidR="009F33B3">
        <w:rPr>
          <w:rFonts w:ascii="Selawik" w:hAnsi="Selawik" w:cs="Arial"/>
          <w:sz w:val="24"/>
          <w:szCs w:val="24"/>
        </w:rPr>
        <w:t xml:space="preserve">, Tarapacá (1), Antofagasta (2), Atacama (1), Coquimbo (2), Valparaíso (2), O’Higgins (1), Maule (1) y Biobío (2). </w:t>
      </w:r>
    </w:p>
    <w:p w14:paraId="390514CC" w14:textId="77777777" w:rsidR="00E661CD" w:rsidRDefault="00E661CD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</w:p>
    <w:p w14:paraId="58B45BD3" w14:textId="77777777" w:rsidR="00E661CD" w:rsidRDefault="00E661CD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</w:p>
    <w:p w14:paraId="02B7AC0C" w14:textId="12FB95F4" w:rsidR="009F33B3" w:rsidRDefault="009F33B3" w:rsidP="00412B18">
      <w:pPr>
        <w:spacing w:line="360" w:lineRule="auto"/>
        <w:jc w:val="both"/>
        <w:rPr>
          <w:rFonts w:ascii="Selawik" w:hAnsi="Selawik" w:cs="Arial"/>
          <w:sz w:val="24"/>
          <w:szCs w:val="24"/>
        </w:rPr>
      </w:pPr>
      <w:r>
        <w:rPr>
          <w:rFonts w:ascii="Selawik" w:hAnsi="Selawik" w:cs="Arial"/>
          <w:sz w:val="24"/>
          <w:szCs w:val="24"/>
        </w:rPr>
        <w:t>Respecto del uso de los recursos, el detalle de los montos ejecutados en el año 2024 es el siguiente:</w:t>
      </w:r>
    </w:p>
    <w:p w14:paraId="22135C79" w14:textId="64C1A71A" w:rsidR="00811F4A" w:rsidRDefault="00E661CD">
      <w:pPr>
        <w:rPr>
          <w:lang w:val="es-ES"/>
        </w:rPr>
      </w:pPr>
      <w:r w:rsidRPr="00E661CD">
        <w:drawing>
          <wp:anchor distT="0" distB="0" distL="114300" distR="114300" simplePos="0" relativeHeight="251658240" behindDoc="1" locked="0" layoutInCell="1" allowOverlap="1" wp14:anchorId="0DBF33F6" wp14:editId="28FD26B3">
            <wp:simplePos x="0" y="0"/>
            <wp:positionH relativeFrom="margin">
              <wp:posOffset>-300990</wp:posOffset>
            </wp:positionH>
            <wp:positionV relativeFrom="paragraph">
              <wp:posOffset>322580</wp:posOffset>
            </wp:positionV>
            <wp:extent cx="6098540" cy="4003040"/>
            <wp:effectExtent l="0" t="0" r="0" b="0"/>
            <wp:wrapTight wrapText="bothSides">
              <wp:wrapPolygon edited="0">
                <wp:start x="0" y="0"/>
                <wp:lineTo x="0" y="21484"/>
                <wp:lineTo x="21524" y="21484"/>
                <wp:lineTo x="21524" y="0"/>
                <wp:lineTo x="0" y="0"/>
              </wp:wrapPolygon>
            </wp:wrapTight>
            <wp:docPr id="1093909115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8540" cy="4003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53BF6BF" w14:textId="3F9225D1" w:rsidR="00E661CD" w:rsidRPr="00811F4A" w:rsidRDefault="00E661CD" w:rsidP="00E661CD">
      <w:pPr>
        <w:rPr>
          <w:lang w:val="es-ES"/>
        </w:rPr>
      </w:pPr>
    </w:p>
    <w:sectPr w:rsidR="00E661CD" w:rsidRPr="00811F4A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lawik"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F4A"/>
    <w:rsid w:val="002C40AF"/>
    <w:rsid w:val="00412B18"/>
    <w:rsid w:val="0042761D"/>
    <w:rsid w:val="004A7867"/>
    <w:rsid w:val="00811F4A"/>
    <w:rsid w:val="009F33B3"/>
    <w:rsid w:val="00B536E6"/>
    <w:rsid w:val="00C24350"/>
    <w:rsid w:val="00D93A8C"/>
    <w:rsid w:val="00E661CD"/>
    <w:rsid w:val="00F14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FDFC8"/>
  <w15:chartTrackingRefBased/>
  <w15:docId w15:val="{4F2EE523-49A4-4C30-8763-38262806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171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2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47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554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Honores Cisterna</dc:creator>
  <cp:keywords/>
  <dc:description/>
  <cp:lastModifiedBy>Raul Abarzua</cp:lastModifiedBy>
  <cp:revision>2</cp:revision>
  <dcterms:created xsi:type="dcterms:W3CDTF">2025-01-31T20:35:00Z</dcterms:created>
  <dcterms:modified xsi:type="dcterms:W3CDTF">2025-01-31T20:35:00Z</dcterms:modified>
</cp:coreProperties>
</file>